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6"/>
        <w:gridCol w:w="2079"/>
      </w:tblGrid>
      <w:tr w:rsidR="00DA14A9" w:rsidTr="004D740D">
        <w:tc>
          <w:tcPr>
            <w:tcW w:w="3850" w:type="pct"/>
            <w:tcBorders>
              <w:top w:val="nil"/>
              <w:left w:val="nil"/>
              <w:bottom w:val="nil"/>
              <w:right w:val="nil"/>
            </w:tcBorders>
          </w:tcPr>
          <w:p w:rsidR="00DA14A9" w:rsidRDefault="00DA14A9" w:rsidP="004D740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:rsidR="00DA14A9" w:rsidRDefault="00DA14A9" w:rsidP="004D740D">
            <w:pPr>
              <w:autoSpaceDE w:val="0"/>
              <w:autoSpaceDN w:val="0"/>
              <w:adjustRightInd w:val="0"/>
              <w:spacing w:after="12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CN__утв_1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DA14A9" w:rsidRDefault="00DA14A9" w:rsidP="004D740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Совета Министров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18.03.2016 № 216</w:t>
            </w:r>
          </w:p>
        </w:tc>
      </w:tr>
    </w:tbl>
    <w:p w:rsidR="00DA14A9" w:rsidRDefault="00DA14A9" w:rsidP="00DA14A9">
      <w:pPr>
        <w:autoSpaceDE w:val="0"/>
        <w:autoSpaceDN w:val="0"/>
        <w:adjustRightInd w:val="0"/>
        <w:spacing w:before="240" w:after="240" w:line="30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CA0_ПОЛ__1CN__заг_утв_1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</w:rPr>
        <w:t>ПОЛОЖЕНИЕ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>о порядке и условиях проведения государственной экспертизы энергетической эффективности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CA0_ПОЛ__1_П_1_1CN__point_1"/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t>1. Настоящим Положением определяются порядок и условия проведения государственной экспертизы энергетической эффективности.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CA0_ПОЛ__1_П_2_2CN__point_2"/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t>2. Государственной экспертизе энергетической эффективности подлежит проектная документация на возведение и реконструкцию жилых, административных зданий, объектов социально-культурного и производственного назначения, в том числе источников тепловой и электрической энергии (далее, если не указано иное, – проектная документация).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CA0_ПОЛ__1_П_3_3CN__point_3"/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>3. Государственная экспертиза энергетической эффективности осуществляется: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CA0_ПОЛ__1_П_3_3_ПП_3_1_1CN__underpoint_"/>
      <w:bookmarkEnd w:id="5"/>
      <w:r>
        <w:rPr>
          <w:rFonts w:ascii="Times New Roman" w:hAnsi="Times New Roman" w:cs="Times New Roman"/>
          <w:color w:val="000000"/>
          <w:sz w:val="24"/>
          <w:szCs w:val="24"/>
        </w:rPr>
        <w:t>3.1. Департаментом по энергоэффективности Государственного комитета по стандартизации – по проектной документации на возведение и реконструкцию: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источников электрической энергии мощностью более 3 МВт;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источников с комбинированной выработкой энергии электрической мощностью более 3 МВт;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источников тепловой энергии производительностью более 10 Гкал/ч;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CA0_ПОЛ__1_П_3_3_ПП_3_2_2CN__underpoint_"/>
      <w:bookmarkEnd w:id="6"/>
      <w:r>
        <w:rPr>
          <w:rFonts w:ascii="Times New Roman" w:hAnsi="Times New Roman" w:cs="Times New Roman"/>
          <w:color w:val="000000"/>
          <w:sz w:val="24"/>
          <w:szCs w:val="24"/>
        </w:rPr>
        <w:t>3.2. областными, Минским городским управлениями по надзору за рациональным использованием топливно-энергетических ресурсов Государственного комитета по стандартизации – по проектной документации на возведение и реконструкцию: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источников электрической энергии мощностью 3 МВт и менее;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источников с комбинированной выработкой энергии электрической мощностью 3 МВт и менее;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источников тепловой энергии производительностью от 5 до 10 Гкал/ч включительно;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CA0_ПОЛ__1_П_3_3_ПП_3_3_3CN__underpoint_"/>
      <w:bookmarkEnd w:id="7"/>
      <w:r>
        <w:rPr>
          <w:rFonts w:ascii="Times New Roman" w:hAnsi="Times New Roman" w:cs="Times New Roman"/>
          <w:color w:val="000000"/>
          <w:sz w:val="24"/>
          <w:szCs w:val="24"/>
        </w:rPr>
        <w:t>3.3. республиканским унитарным предприятием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Главгосстройэкспертиза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 и его дочерними предприятиями по областям и г. Минску – по проектной документации на возведение и реконструкцию объектов, не указанных в </w:t>
      </w:r>
      <w:hyperlink r:id="rId4" w:anchor="Заг_Утв_1&amp;UnderPoint=3.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подпунктах 3.1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hyperlink r:id="rId5" w:anchor="Заг_Утв_1&amp;UnderPoint=3.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3.2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пункта, в процессе проведения государственной экспертизы архитектурных, строительных проектов, выделяемых в них очередей строительства, пусковых комплексов и смет (сметной документации).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CA0_ПОЛ__1_П_4_4CN__point_4_1_"/>
      <w:bookmarkEnd w:id="8"/>
      <w:r>
        <w:rPr>
          <w:rFonts w:ascii="Times New Roman" w:hAnsi="Times New Roman" w:cs="Times New Roman"/>
          <w:color w:val="000000"/>
          <w:sz w:val="24"/>
          <w:szCs w:val="24"/>
        </w:rPr>
        <w:t xml:space="preserve">4. Для проведения государственной экспертизы энергетической эффективности проектной документации на возведение и реконструкцию источников тепловой и электрической энергии, указанных в </w:t>
      </w:r>
      <w:hyperlink r:id="rId6" w:anchor="Заг_Утв_1&amp;UnderPoint=3.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подпунктах 3.1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hyperlink r:id="rId7" w:anchor="Заг_Утв_1&amp;UnderPoint=3.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3.2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пункта 3 настоящего Положения, застройщиками, заказчиками их строительства – юридическими лицами и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индивидуальными предпринимателями представляются документы, предусмотренные в пункте 3.8[1] </w:t>
      </w:r>
      <w:hyperlink r:id="rId8" w:anchor="Заг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единого перечня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утвержденного постановлением Совета Министров Республики Беларусь от 17 февраля 2012 г. № 156 «Об утверждении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внесении дополнения в постановление Совета Министров Республики Беларусь от 14 февраля 2009 г. № 193 и признании утратившими силу некоторых постановлений Совета Министров Республики Беларусь» (Национальный реестр правовых актов Республики Беларусь, 2012 г., № 35, 5/35330).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CA0_ПОЛ__1_П_5_5CN__point_5"/>
      <w:bookmarkEnd w:id="9"/>
      <w:r>
        <w:rPr>
          <w:rFonts w:ascii="Times New Roman" w:hAnsi="Times New Roman" w:cs="Times New Roman"/>
          <w:color w:val="000000"/>
          <w:sz w:val="24"/>
          <w:szCs w:val="24"/>
        </w:rPr>
        <w:t>5. При проведении государственной экспертизы энергетической эффективности осуществляется оценка: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соответствия проектной документации требованиям законодательства об энергосбережении, в том числе обязательным для соблюдения требованиям технических нормативных правовых актов, и решениям схемы теплоснабжения;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обоснованности корректировки объемов использования топливно-энергетических ресурсов с учетом прогрессивности предлагаемых технических, инженерных и архитектурно-планировочных решений;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обоснованности видов и объемов использования топлива, тепловой и электрической энергии, в том числе возобновляемых источников энергии, объемов использования вторичных энергетических ресурсов и местных топливно-энергетических ресурсов;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достаточности и обоснованности предусмотренных проектной документацией мер по повышению энергоэффективности.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0" w:name="CA0_ПОЛ__1_П_6_6CN__point_6"/>
      <w:bookmarkEnd w:id="10"/>
      <w:r>
        <w:rPr>
          <w:rFonts w:ascii="Times New Roman" w:hAnsi="Times New Roman" w:cs="Times New Roman"/>
          <w:color w:val="000000"/>
          <w:sz w:val="24"/>
          <w:szCs w:val="24"/>
        </w:rPr>
        <w:t>6. По результатам проведения государственной экспертизы энергетической эффективности составляется заключение государственной экспертизы энергетической эффективности (далее – заключение).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Заключение должно содержать: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сведения о застройщиках, заказчиках строительства (полное наименование и место нахождения юридического лица, фамилия, собственное имя, отчество (при его наличии) и место жительства индивидуального предпринимателя);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сведения об объекте;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оценку эффективности планируемого использования топливно-энергетических ресурсов;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выводы об энергетической эффективности (неэффективности) проекта.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1" w:name="CA0_ПОЛ__1_П_7_7CN__point_7"/>
      <w:bookmarkEnd w:id="11"/>
      <w:r>
        <w:rPr>
          <w:rFonts w:ascii="Times New Roman" w:hAnsi="Times New Roman" w:cs="Times New Roman"/>
          <w:color w:val="000000"/>
          <w:sz w:val="24"/>
          <w:szCs w:val="24"/>
        </w:rPr>
        <w:t>7. Решение об отказе в принятии заявления на проведение государственной экспертизы энергетической эффективности или отказе в осуществлении административной процедуры по выдаче заключения принимается в соответствии со сроками и при наличии оснований, предусмотренных законодательством об административных процедурах.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2" w:name="CA0_ПОЛ__1_П_8_8CN__point_8"/>
      <w:bookmarkEnd w:id="12"/>
      <w:r>
        <w:rPr>
          <w:rFonts w:ascii="Times New Roman" w:hAnsi="Times New Roman" w:cs="Times New Roman"/>
          <w:color w:val="000000"/>
          <w:sz w:val="24"/>
          <w:szCs w:val="24"/>
        </w:rPr>
        <w:t xml:space="preserve">8. Обжалование решения об отказе в принятии заявления на проведение государственной экспертизы энергетической эффективности или отказе в осуществлении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административной процедуры по выдаче заключения и подача административной жалобы осуществляются в соответствии с законодательством об административных процедурах.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3" w:name="CA0_ПОЛ__1_П_9_9CN__point_9"/>
      <w:bookmarkEnd w:id="13"/>
      <w:r>
        <w:rPr>
          <w:rFonts w:ascii="Times New Roman" w:hAnsi="Times New Roman" w:cs="Times New Roman"/>
          <w:color w:val="000000"/>
          <w:sz w:val="24"/>
          <w:szCs w:val="24"/>
        </w:rPr>
        <w:t>9. В случае корректировки проектной документации в связи с изменением объемов и (или) технико-экономических показателей использования топливно-энергетических ресурсов проектная документация подлежит повторной государственной экспертизе энергетической эффективности в порядке, установленном настоящим Положением.</w:t>
      </w:r>
    </w:p>
    <w:p w:rsidR="00DA14A9" w:rsidRDefault="00DA14A9" w:rsidP="00DA14A9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4" w:name="CA0_ПОЛ__1_П_10_10CN__point_10"/>
      <w:bookmarkEnd w:id="14"/>
      <w:r>
        <w:rPr>
          <w:rFonts w:ascii="Times New Roman" w:hAnsi="Times New Roman" w:cs="Times New Roman"/>
          <w:color w:val="000000"/>
          <w:sz w:val="24"/>
          <w:szCs w:val="24"/>
        </w:rPr>
        <w:t>10. Срок действия заключения ограничивается сроком проектной продолжительности строительства объекта, увеличенным на один год.</w:t>
      </w:r>
    </w:p>
    <w:p w:rsidR="00776FAA" w:rsidRDefault="00776FAA" w:rsidP="00DA14A9">
      <w:bookmarkStart w:id="15" w:name="_GoBack"/>
      <w:bookmarkEnd w:id="15"/>
    </w:p>
    <w:sectPr w:rsidR="00776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76E"/>
    <w:rsid w:val="00776FAA"/>
    <w:rsid w:val="00AD2493"/>
    <w:rsid w:val="00BF076E"/>
    <w:rsid w:val="00DA14A9"/>
    <w:rsid w:val="00EB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F6FB3-554E-4621-9BAB-252721359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4A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CPI#G#C2120015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NCPI#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NCPI#L" TargetMode="External"/><Relationship Id="rId5" Type="http://schemas.openxmlformats.org/officeDocument/2006/relationships/hyperlink" Target="NCPI#L" TargetMode="External"/><Relationship Id="rId10" Type="http://schemas.openxmlformats.org/officeDocument/2006/relationships/theme" Target="theme/theme1.xml"/><Relationship Id="rId4" Type="http://schemas.openxmlformats.org/officeDocument/2006/relationships/hyperlink" Target="NCPI#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4950</Characters>
  <Application>Microsoft Office Word</Application>
  <DocSecurity>0</DocSecurity>
  <Lines>41</Lines>
  <Paragraphs>11</Paragraphs>
  <ScaleCrop>false</ScaleCrop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2020-06-10T13:54:00Z</dcterms:created>
  <dcterms:modified xsi:type="dcterms:W3CDTF">2020-06-10T13:55:00Z</dcterms:modified>
</cp:coreProperties>
</file>