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6"/>
        <w:gridCol w:w="2079"/>
      </w:tblGrid>
      <w:tr w:rsidR="00F41EF9">
        <w:tc>
          <w:tcPr>
            <w:tcW w:w="3850" w:type="pct"/>
            <w:tcBorders>
              <w:top w:val="nil"/>
              <w:left w:val="nil"/>
              <w:bottom w:val="nil"/>
              <w:right w:val="nil"/>
            </w:tcBorders>
          </w:tcPr>
          <w:p w:rsidR="00F41EF9" w:rsidRDefault="00F41EF9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:rsidR="00F41EF9" w:rsidRDefault="00F41EF9">
            <w:pPr>
              <w:autoSpaceDE w:val="0"/>
              <w:autoSpaceDN w:val="0"/>
              <w:adjustRightInd w:val="0"/>
              <w:spacing w:after="12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CN__утв_3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F41EF9" w:rsidRDefault="00F41EF9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Совета Министров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18.03.2016 № 216</w:t>
            </w:r>
          </w:p>
        </w:tc>
      </w:tr>
    </w:tbl>
    <w:p w:rsidR="00F41EF9" w:rsidRDefault="00F41EF9">
      <w:pPr>
        <w:autoSpaceDE w:val="0"/>
        <w:autoSpaceDN w:val="0"/>
        <w:adjustRightInd w:val="0"/>
        <w:spacing w:before="240" w:after="240" w:line="30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CA0_ПОЛ__3CN__заг_утв_3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</w:rPr>
        <w:t>ПОЛОЖЕНИЕ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о порядке организации и проведения энергетических обследований (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энергоаудитов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CA0_ПОЛ__3_П_1_1CN__point_1"/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>1. Настоящим Положением определяется порядок организации и проведения энергетических обследований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CA0_ПОЛ__3_П_2_2CN__point_2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>2. В настоящем Положении используются следующие термины и их определения: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обследуемое юридическое лицо – юридическое лицо с годовым потреблением топливно-энергетических ресурсов (далее – ТЭР) 1,5 тыс. тонн условного топлива и более;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организация-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энергоаудитор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юридическое лицо, оказывающее услуги по энергетическому обследованию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юридических лиц и индивидуальных предпринимателей, имеющее сертификат соответствия на выполняемые работы (оказываемые услуги) в данной сфере, выданный в порядке, установленном Национальной системой подтверждения соответствия Республики Беларусь.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CA0_ПОЛ__3_П_3_3CN__point_3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>3. Графики проведения обязательных энергетических обследований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юридических лиц разрабатываются республиканскими органами государственного управления и иными государственными организациями, подчиненными Правительству Республики Беларусь, облисполкомами и Минским горисполкомом и согласовываются с Департаментом по энергоэффективности Государственного комитета по стандартизации (далее – Департамент).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CA0_ПОЛ__3_П_4_4CN__point_4"/>
      <w:bookmarkEnd w:id="5"/>
      <w:r>
        <w:rPr>
          <w:rFonts w:ascii="Times New Roman" w:hAnsi="Times New Roman" w:cs="Times New Roman"/>
          <w:color w:val="000000"/>
          <w:sz w:val="24"/>
          <w:szCs w:val="24"/>
        </w:rPr>
        <w:t>4. Энергетическое обследование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осуществляется организацией-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энергоаудитором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Организация-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энергоаудитор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должна быть аккредитована для проведения испытаний и измерений при осуществлении энергетического обследования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в Национальной системе аккредитации Республики Беларусь или иметь заключенный договор со сторонней организацией, аккредитованной для проведения испытаний и измерений при энергетическом обследовании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в Национальной системе аккредитации Республики Беларусь.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CA0_ПОЛ__3_П_5_5CN__point_5"/>
      <w:bookmarkEnd w:id="6"/>
      <w:r>
        <w:rPr>
          <w:rFonts w:ascii="Times New Roman" w:hAnsi="Times New Roman" w:cs="Times New Roman"/>
          <w:color w:val="000000"/>
          <w:sz w:val="24"/>
          <w:szCs w:val="24"/>
        </w:rPr>
        <w:t>5. Энергетическое обследование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осуществляется на основании технического задания на проведение энергетического обследования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по примерной форме согласно </w:t>
      </w:r>
      <w:hyperlink r:id="rId6" w:anchor="Прил_1_Утв_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приложению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Техническое задание на проведение обязательного энергетического обследования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подлежит согласованию с областными, Минским городским управлениями по надзору за рациональным использованием ТЭР Государственного комитета по стандартизации (далее – региональные управления).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CA0_ПОЛ__3_П_6_6CN__point_6"/>
      <w:bookmarkEnd w:id="7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6. По результатам обязательного энергетического обследования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организацией-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энергоаудитором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составляется в трех экземплярах отчет о результатах проведения обязательного энергетического обследования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(далее, если не указано иное, – отчет), содержащий информационную и аналитическую части.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информационной части отчета указывается структура потребления ТЭР обследуемого юридического лица с отражением номенклатуры выпускаемой продукции (выполняемых работ, оказываемых услуг), фактических норм расхода ТЭР на ее производство, доли энергетической составляющей в себестоимости продукции, информации об организации технического и коммерческого учета потребления ТЭР.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аналитической части отчета приводится анализ эффективности использования ТЭР обследуемого юридического лица за три года, предшествующие году, в котором осуществляется проведение обязательного энергетического обследования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), включающий: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отчет о реализации ранее разработанных мероприятий по результатам предыдущего энергетического обследования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 использования вторичных энергетических ресурсов с указанием возможного потенциала их использования;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распределение потребления ТЭР по их видам (разработка энергетических балансов);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для каждого вида ТЭР наиболее значимых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энергозатратам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потребителей (при их наличии);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 использования ТЭР наиболее энергоемкими потребителями (при их наличии);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оценку эффективности использования ТЭР;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сведения о наиболее неблагоприятных объектах с точки зрения эффективности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энергоиспользования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а также при выявлении показателей энергоэффективности, ухудшенных по сравнению с паспортными (проектными) показателями (нормативными значениями), сведения о причинах их ухудшения с принятием экономически обоснованного решения о проведении необходимых доработок;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прямых потерь различных энергоносителей при их утечке, неэффективной загрузке оборудования, простоях, неправильной эксплуатации и других видах нарушений;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направлений реализации энергосберегающих мероприятий;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выводы по результатам обязательного энергетического обследования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энергоаудита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перечень энергосберегающих мероприятий на предстоящую пятилетку с технико-экономическим обоснованием их эффективности, указанием сроков окупаемости и сроков реализации этих мероприятий (при их включении в планы мероприятий по энергосбережению уточняется экономическая целесообразность реализации мероприятий, в том числе с учетом наличия источников финансирования);</w:t>
      </w:r>
      <w:r w:rsidR="000822BC">
        <w:rPr>
          <w:rFonts w:ascii="Times New Roman" w:hAnsi="Times New Roman" w:cs="Times New Roman"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7.5pt;height:7.5pt">
            <v:imagedata r:id="rId7" o:title=""/>
          </v:shape>
        </w:pic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предложения о переходе к прогрессивным нормам расхода ТЭР.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юридических лиц, которые внедрили систему энергетического менеджмента в соответствии с требованиями нормативных правовых актов и сертифицировали ее, в аналитической части отчета приводится анализ эффективности использования ТЭР обследуемого юридического лица за три года, предшествующие году, в котором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осуществляется проведение обязательного энергетического обследования (энергоаудита), включающий: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отчет о реализации ранее разработанных мероприятий по результатам предыдущего энергетического обследования (энергоаудита);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оценку эффективности использования ТЭР;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направлений реализации энергосберегающих мероприятий;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выводы по результатам обязательного энергетического обследования (энергоаудита);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перечень энергосберегающих мероприятий на предстоящую пятилетку с технико-экономическим обоснованием их эффективности, указанием сроков окупаемости и сроков реализации этих мероприятий;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предложения о переходе к прогрессивным нормам расхода ТЭР.</w:t>
      </w:r>
      <w:r w:rsidR="000822BC">
        <w:rPr>
          <w:rFonts w:ascii="Times New Roman" w:hAnsi="Times New Roman" w:cs="Times New Roman"/>
          <w:color w:val="000000"/>
          <w:sz w:val="24"/>
          <w:szCs w:val="24"/>
        </w:rPr>
        <w:pict>
          <v:shape id="_x0000_i1038" type="#_x0000_t75" style="width:7.5pt;height:7.5pt">
            <v:imagedata r:id="rId7" o:title=""/>
          </v:shape>
        </w:pic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CA0_ПОЛ__3_П_7_7CN__point_7"/>
      <w:bookmarkEnd w:id="8"/>
      <w:r>
        <w:rPr>
          <w:rFonts w:ascii="Times New Roman" w:hAnsi="Times New Roman" w:cs="Times New Roman"/>
          <w:color w:val="000000"/>
          <w:sz w:val="24"/>
          <w:szCs w:val="24"/>
        </w:rPr>
        <w:t xml:space="preserve">7. По результатам энергетического обследования (энергоаудита) составляется в трех экземплярах энергетический паспорт объекта обследования по примерной форме согласно </w:t>
      </w:r>
      <w:hyperlink r:id="rId8" w:anchor="Прил_2_Утв_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приложению 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или осуществляется внесение изменений и (или) дополнений в имеющийся энергетический паспорт объекта обследования.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CA0_ПОЛ__3_П_8_8CN__point_8"/>
      <w:bookmarkEnd w:id="9"/>
      <w:r>
        <w:rPr>
          <w:rFonts w:ascii="Times New Roman" w:hAnsi="Times New Roman" w:cs="Times New Roman"/>
          <w:color w:val="000000"/>
          <w:sz w:val="24"/>
          <w:szCs w:val="24"/>
        </w:rPr>
        <w:t>8. Отчет направляется обследуемому юридическому лицу для предварительного рассмотрения в пятидневный срок со дня его получения.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наличии разногласий по предлагаемым энергосберегающим мероприятиям обследуемым юридическим лицом оформляется особое мнение с приложением технико-экономических расчетов и других обосновывающих документов.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Обследуемым юридическим лицом и организацией-энергоаудитором при наличии разногласий принимаются меры по их устранению.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0" w:name="CA0_ПОЛ__3_П_9_9CN__point_9"/>
      <w:bookmarkEnd w:id="10"/>
      <w:r>
        <w:rPr>
          <w:rFonts w:ascii="Times New Roman" w:hAnsi="Times New Roman" w:cs="Times New Roman"/>
          <w:color w:val="000000"/>
          <w:sz w:val="24"/>
          <w:szCs w:val="24"/>
        </w:rPr>
        <w:t>9. Отчет после его рассмотрения обследуемым юридическим лицом направляется организацией-энергоаудитором на согласование: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соответствующие республиканские органы государственного управления и иные государственные организации, подчиненные Правительству Республики Беларусь, облисполкомы и Минский горисполком;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Департамент – при годовом потреблении обследуемым юридическим лицом ТЭР в объеме 25 тыс. тонн условного топлива и более;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региональные управления – при годовом потреблении обследуемым юридическим лицом ТЭР в объеме менее 25 тыс. тонн условного топлива.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1" w:name="CA0_ПОЛ__3_П_10_10CN__point_10"/>
      <w:bookmarkEnd w:id="11"/>
      <w:r>
        <w:rPr>
          <w:rFonts w:ascii="Times New Roman" w:hAnsi="Times New Roman" w:cs="Times New Roman"/>
          <w:color w:val="000000"/>
          <w:sz w:val="24"/>
          <w:szCs w:val="24"/>
        </w:rPr>
        <w:t>10. После согласования с соответствующими республиканскими органами государственного управления и иными государственными организациями, подчиненными Правительству Республики Беларусь, облисполкомами и Минским горисполкомом, Департаментом или региональными управлениями отчет направляется организацией-энергоаудитором для его утверждения руководителем обследуемого юридического лица в пятидневный срок со дня получения отчета.</w:t>
      </w:r>
    </w:p>
    <w:p w:rsidR="00F41EF9" w:rsidRDefault="00F41EF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2" w:name="CA0_ПОЛ__3_П_11_11CN__point_11"/>
      <w:bookmarkEnd w:id="12"/>
      <w:r>
        <w:rPr>
          <w:rFonts w:ascii="Times New Roman" w:hAnsi="Times New Roman" w:cs="Times New Roman"/>
          <w:color w:val="000000"/>
          <w:sz w:val="24"/>
          <w:szCs w:val="24"/>
        </w:rPr>
        <w:t>11. Утвержденный отчет в одном экземпляре направляется организацией-энергоаудитором:</w:t>
      </w:r>
    </w:p>
    <w:p w:rsidR="009260FA" w:rsidRPr="00F41EF9" w:rsidRDefault="00F41EF9" w:rsidP="003F5587">
      <w:pPr>
        <w:autoSpaceDE w:val="0"/>
        <w:autoSpaceDN w:val="0"/>
        <w:adjustRightInd w:val="0"/>
        <w:spacing w:after="0" w:line="300" w:lineRule="auto"/>
        <w:ind w:firstLine="57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в соответствующие республиканские органы государственного управления и иные государственные организации, подчиненные Правительству Республики Беларусь, облисполкомы и Минский горисполком;</w:t>
      </w:r>
      <w:r w:rsidR="003F5587" w:rsidRPr="003F55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 Департамент или региональные управления.</w:t>
      </w:r>
      <w:bookmarkStart w:id="13" w:name="_GoBack"/>
      <w:bookmarkEnd w:id="13"/>
    </w:p>
    <w:sectPr w:rsidR="009260FA" w:rsidRPr="00F41EF9" w:rsidSect="0008586D">
      <w:headerReference w:type="default" r:id="rId9"/>
      <w:footerReference w:type="default" r:id="rId10"/>
      <w:pgSz w:w="11906" w:h="16838"/>
      <w:pgMar w:top="1134" w:right="850" w:bottom="1134" w:left="1701" w:header="708" w:footer="8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2BC" w:rsidRDefault="000822BC" w:rsidP="0008586D">
      <w:pPr>
        <w:spacing w:after="0" w:line="240" w:lineRule="auto"/>
      </w:pPr>
      <w:r>
        <w:separator/>
      </w:r>
    </w:p>
  </w:endnote>
  <w:endnote w:type="continuationSeparator" w:id="0">
    <w:p w:rsidR="000822BC" w:rsidRDefault="000822BC" w:rsidP="00085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3392"/>
      <w:gridCol w:w="2584"/>
      <w:gridCol w:w="3379"/>
    </w:tblGrid>
    <w:tr w:rsidR="00F41EF9" w:rsidTr="00F41EF9">
      <w:tc>
        <w:tcPr>
          <w:tcW w:w="1813" w:type="pct"/>
        </w:tcPr>
        <w:p w:rsidR="00F41EF9" w:rsidRPr="00D96E53" w:rsidRDefault="00F41EF9" w:rsidP="00F41EF9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</w:pPr>
        </w:p>
      </w:tc>
      <w:tc>
        <w:tcPr>
          <w:tcW w:w="1381" w:type="pct"/>
        </w:tcPr>
        <w:p w:rsidR="00F41EF9" w:rsidRPr="00732078" w:rsidRDefault="00F41EF9" w:rsidP="00F41EF9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Cs/>
              <w:color w:val="000000"/>
              <w:sz w:val="14"/>
              <w:szCs w:val="14"/>
            </w:rPr>
          </w:pPr>
        </w:p>
      </w:tc>
      <w:tc>
        <w:tcPr>
          <w:tcW w:w="1806" w:type="pct"/>
        </w:tcPr>
        <w:p w:rsidR="00F41EF9" w:rsidRPr="00D96E53" w:rsidRDefault="00F41EF9" w:rsidP="00F41EF9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</w:pPr>
        </w:p>
      </w:tc>
    </w:tr>
  </w:tbl>
  <w:p w:rsidR="00F41EF9" w:rsidRPr="009D179B" w:rsidRDefault="00F41EF9" w:rsidP="00F41EF9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Cs/>
        <w:color w:val="000000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2BC" w:rsidRDefault="000822BC" w:rsidP="0008586D">
      <w:pPr>
        <w:spacing w:after="0" w:line="240" w:lineRule="auto"/>
      </w:pPr>
      <w:r>
        <w:separator/>
      </w:r>
    </w:p>
  </w:footnote>
  <w:footnote w:type="continuationSeparator" w:id="0">
    <w:p w:rsidR="000822BC" w:rsidRDefault="000822BC" w:rsidP="00085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75" w:type="pct"/>
      <w:tblLook w:val="01E0" w:firstRow="1" w:lastRow="1" w:firstColumn="1" w:lastColumn="1" w:noHBand="0" w:noVBand="0"/>
    </w:tblPr>
    <w:tblGrid>
      <w:gridCol w:w="7514"/>
      <w:gridCol w:w="1607"/>
    </w:tblGrid>
    <w:tr w:rsidR="00F41EF9" w:rsidTr="00F41EF9">
      <w:tc>
        <w:tcPr>
          <w:tcW w:w="7513" w:type="dxa"/>
        </w:tcPr>
        <w:p w:rsidR="00F41EF9" w:rsidRPr="00732078" w:rsidRDefault="00F41EF9" w:rsidP="00F41EF9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Times New Roman" w:hAnsi="Times New Roman" w:cs="Times New Roman"/>
              <w:sz w:val="14"/>
              <w:szCs w:val="14"/>
            </w:rPr>
          </w:pPr>
        </w:p>
      </w:tc>
      <w:tc>
        <w:tcPr>
          <w:tcW w:w="1607" w:type="dxa"/>
        </w:tcPr>
        <w:p w:rsidR="00F41EF9" w:rsidRDefault="00F41EF9" w:rsidP="00F41EF9">
          <w:pPr>
            <w:autoSpaceDE w:val="0"/>
            <w:autoSpaceDN w:val="0"/>
            <w:adjustRightInd w:val="0"/>
            <w:spacing w:after="0" w:line="240" w:lineRule="auto"/>
            <w:ind w:left="-109"/>
            <w:jc w:val="right"/>
            <w:rPr>
              <w:rFonts w:ascii="Times New Roman" w:hAnsi="Times New Roman" w:cs="Times New Roman"/>
              <w:sz w:val="14"/>
              <w:szCs w:val="14"/>
              <w:lang w:val="en-US"/>
            </w:rPr>
          </w:pPr>
        </w:p>
      </w:tc>
    </w:tr>
  </w:tbl>
  <w:p w:rsidR="00F41EF9" w:rsidRPr="00B82B7A" w:rsidRDefault="00F41EF9" w:rsidP="00F41EF9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EF9"/>
    <w:rsid w:val="00032189"/>
    <w:rsid w:val="000822BC"/>
    <w:rsid w:val="0008586D"/>
    <w:rsid w:val="00155F8F"/>
    <w:rsid w:val="00192EA1"/>
    <w:rsid w:val="003F5587"/>
    <w:rsid w:val="004C23B5"/>
    <w:rsid w:val="00732078"/>
    <w:rsid w:val="009260FA"/>
    <w:rsid w:val="0098632C"/>
    <w:rsid w:val="00C801A4"/>
    <w:rsid w:val="00F41EF9"/>
    <w:rsid w:val="00FA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0D5D9"/>
  <w15:chartTrackingRefBased/>
  <w15:docId w15:val="{6E3509F8-04C7-4843-9CB9-3E74918D0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5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586D"/>
  </w:style>
  <w:style w:type="paragraph" w:styleId="a5">
    <w:name w:val="footer"/>
    <w:basedOn w:val="a"/>
    <w:link w:val="a6"/>
    <w:uiPriority w:val="99"/>
    <w:unhideWhenUsed/>
    <w:rsid w:val="00085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5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NCPI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NCP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Kretskiy</dc:creator>
  <cp:keywords/>
  <dc:description/>
  <cp:lastModifiedBy>Вячеслав Санников</cp:lastModifiedBy>
  <cp:revision>3</cp:revision>
  <dcterms:created xsi:type="dcterms:W3CDTF">2020-06-10T12:41:00Z</dcterms:created>
  <dcterms:modified xsi:type="dcterms:W3CDTF">2020-06-10T12:46:00Z</dcterms:modified>
</cp:coreProperties>
</file>